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附件1</w:t>
      </w:r>
    </w:p>
    <w:p>
      <w:pPr>
        <w:rPr>
          <w:rFonts w:asciiTheme="minorEastAsia" w:hAnsiTheme="minorEastAsia"/>
          <w:sz w:val="32"/>
          <w:szCs w:val="32"/>
        </w:rPr>
      </w:pPr>
    </w:p>
    <w:p>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红色旅游校园行暨第七届全国大学生</w:t>
      </w:r>
    </w:p>
    <w:p>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红色旅游创意策划大赛方案</w:t>
      </w:r>
    </w:p>
    <w:p>
      <w:pPr>
        <w:rPr>
          <w:rFonts w:ascii="仿宋_GB2312" w:eastAsia="仿宋_GB2312"/>
          <w:sz w:val="32"/>
          <w:szCs w:val="32"/>
        </w:rPr>
      </w:pP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为深入学习贯彻习近平总书记系列重要讲话精神，推进落实红色旅游《三期规划》规定的目标任务，按照2017年全国旅游工作会议部署要求，结合年度工作安排，国家旅游局组织开展大学生红色旅游主题活动。活动方案如下：</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一、活动名称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红色旅游校园行暨第七届全国大学生红色旅游创意策划大赛。</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二、活动时间</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2017年5月—9月。</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三、活动宗旨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深入学习贯彻习近平总书记系列重要讲话精神，大力发展红色旅游，通过请进来、走出去的方式，组织大学生参与红色旅游，接受爱国主义和革命传统教育，实现传承红色精神、坚定理想信念、加强修身养德、助力中华民族伟大复兴的目标。</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四、组织机构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主办单位：国家旅游局。</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承办单位：国家旅游局红办，北京、四川、浙江、云南等省（市）旅发委（旅游局），中国旅游协会，北京第二外国语学院，四川省西华师范大学。</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协办单位：相关地市旅发委（旅游局）、中国旅游协会旅游教育分会、北京第二外国语学院旅游管理学院。</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为确保活动顺利进行，成立活动组委会，成员如下：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主  任：李金早   国家旅游局党组书记、局长</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副主任：魏洪涛   国家旅游局党组成员、副局长</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成  员：国家旅游局红办有关负责同志         </w:t>
      </w:r>
    </w:p>
    <w:p>
      <w:pPr>
        <w:spacing w:line="600" w:lineRule="exact"/>
        <w:ind w:firstLine="1920" w:firstLineChars="600"/>
        <w:rPr>
          <w:rFonts w:ascii="仿宋_GB2312" w:eastAsia="仿宋_GB2312"/>
          <w:sz w:val="32"/>
          <w:szCs w:val="32"/>
        </w:rPr>
      </w:pPr>
      <w:r>
        <w:rPr>
          <w:rFonts w:hint="eastAsia" w:ascii="仿宋_GB2312" w:eastAsia="仿宋_GB2312"/>
          <w:sz w:val="32"/>
          <w:szCs w:val="32"/>
        </w:rPr>
        <w:t xml:space="preserve">胡  斌   四川省旅游发展委员会党组书记  </w:t>
      </w:r>
    </w:p>
    <w:p>
      <w:pPr>
        <w:spacing w:line="600" w:lineRule="exact"/>
        <w:ind w:firstLine="1920" w:firstLineChars="600"/>
        <w:rPr>
          <w:rFonts w:ascii="仿宋_GB2312" w:eastAsia="仿宋_GB2312"/>
          <w:sz w:val="32"/>
          <w:szCs w:val="32"/>
        </w:rPr>
      </w:pPr>
      <w:r>
        <w:rPr>
          <w:rFonts w:hint="eastAsia" w:ascii="仿宋_GB2312" w:eastAsia="仿宋_GB2312"/>
          <w:sz w:val="32"/>
          <w:szCs w:val="32"/>
        </w:rPr>
        <w:t xml:space="preserve">张润钢   中国旅游协会秘书长            </w:t>
      </w:r>
    </w:p>
    <w:p>
      <w:pPr>
        <w:spacing w:line="600" w:lineRule="exact"/>
        <w:rPr>
          <w:rFonts w:ascii="仿宋_GB2312" w:eastAsia="仿宋_GB2312"/>
          <w:sz w:val="32"/>
          <w:szCs w:val="32"/>
        </w:rPr>
      </w:pPr>
      <w:r>
        <w:rPr>
          <w:rFonts w:hint="eastAsia" w:ascii="仿宋_GB2312" w:eastAsia="仿宋_GB2312"/>
          <w:sz w:val="32"/>
          <w:szCs w:val="32"/>
        </w:rPr>
        <w:t xml:space="preserve">            顾晓园   北京第二外国语学院党委书记    </w:t>
      </w:r>
    </w:p>
    <w:p>
      <w:pPr>
        <w:spacing w:line="600" w:lineRule="exact"/>
        <w:rPr>
          <w:rFonts w:ascii="仿宋_GB2312" w:eastAsia="仿宋_GB2312"/>
          <w:sz w:val="32"/>
          <w:szCs w:val="32"/>
        </w:rPr>
      </w:pPr>
      <w:r>
        <w:rPr>
          <w:rFonts w:hint="eastAsia" w:ascii="仿宋_GB2312" w:eastAsia="仿宋_GB2312"/>
          <w:sz w:val="32"/>
          <w:szCs w:val="32"/>
        </w:rPr>
        <w:t xml:space="preserve">            王安平   西华师范大学党委书记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组委会下设活动办公室，设在北京第二外国语学院旅游管理学院，负责活动日常工作开展。办公室成员有：</w:t>
      </w:r>
    </w:p>
    <w:p>
      <w:pPr>
        <w:spacing w:line="600" w:lineRule="exact"/>
        <w:ind w:firstLine="1920" w:firstLineChars="600"/>
        <w:rPr>
          <w:rFonts w:ascii="仿宋_GB2312" w:eastAsia="仿宋_GB2312"/>
          <w:sz w:val="32"/>
          <w:szCs w:val="32"/>
        </w:rPr>
      </w:pPr>
      <w:r>
        <w:rPr>
          <w:rFonts w:hint="eastAsia" w:ascii="仿宋_GB2312" w:eastAsia="仿宋_GB2312"/>
          <w:sz w:val="32"/>
          <w:szCs w:val="32"/>
        </w:rPr>
        <w:t>王树茂   国家旅游局红办副巡视员</w:t>
      </w:r>
    </w:p>
    <w:p>
      <w:pPr>
        <w:spacing w:line="600" w:lineRule="exact"/>
        <w:ind w:firstLine="1920" w:firstLineChars="600"/>
        <w:rPr>
          <w:rFonts w:ascii="仿宋_GB2312" w:eastAsia="仿宋_GB2312"/>
          <w:sz w:val="32"/>
          <w:szCs w:val="32"/>
        </w:rPr>
      </w:pPr>
      <w:r>
        <w:rPr>
          <w:rFonts w:hint="eastAsia" w:ascii="仿宋_GB2312" w:eastAsia="仿宋_GB2312"/>
          <w:sz w:val="32"/>
          <w:szCs w:val="32"/>
        </w:rPr>
        <w:t>张  岩   国家旅游局红办副巡视员</w:t>
      </w:r>
    </w:p>
    <w:p>
      <w:pPr>
        <w:spacing w:line="600" w:lineRule="exact"/>
        <w:ind w:firstLine="1920" w:firstLineChars="600"/>
        <w:rPr>
          <w:rFonts w:ascii="仿宋_GB2312" w:eastAsia="仿宋_GB2312"/>
          <w:sz w:val="32"/>
          <w:szCs w:val="32"/>
        </w:rPr>
      </w:pPr>
      <w:r>
        <w:rPr>
          <w:rFonts w:hint="eastAsia" w:ascii="仿宋_GB2312" w:eastAsia="仿宋_GB2312"/>
          <w:sz w:val="32"/>
          <w:szCs w:val="32"/>
        </w:rPr>
        <w:t>文学菊   四川省旅发委产业处处长</w:t>
      </w:r>
    </w:p>
    <w:p>
      <w:pPr>
        <w:spacing w:line="600" w:lineRule="exact"/>
        <w:ind w:firstLine="1920" w:firstLineChars="600"/>
        <w:rPr>
          <w:rFonts w:ascii="仿宋_GB2312" w:eastAsia="仿宋_GB2312"/>
          <w:sz w:val="32"/>
          <w:szCs w:val="32"/>
        </w:rPr>
      </w:pPr>
      <w:r>
        <w:rPr>
          <w:rFonts w:hint="eastAsia" w:ascii="仿宋_GB2312" w:eastAsia="仿宋_GB2312"/>
          <w:sz w:val="32"/>
          <w:szCs w:val="32"/>
        </w:rPr>
        <w:t>刘莉莉   中国旅游协会旅游教育分会秘书长</w:t>
      </w:r>
    </w:p>
    <w:p>
      <w:pPr>
        <w:spacing w:line="600" w:lineRule="exact"/>
        <w:ind w:left="3355" w:leftChars="912" w:hanging="1440" w:hangingChars="450"/>
        <w:rPr>
          <w:rFonts w:ascii="仿宋_GB2312" w:eastAsia="仿宋_GB2312"/>
          <w:sz w:val="32"/>
          <w:szCs w:val="32"/>
        </w:rPr>
      </w:pPr>
      <w:r>
        <w:rPr>
          <w:rFonts w:hint="eastAsia" w:ascii="仿宋_GB2312" w:eastAsia="仿宋_GB2312"/>
          <w:sz w:val="32"/>
          <w:szCs w:val="32"/>
        </w:rPr>
        <w:t>殷  敏   北京第二外国语学院旅游管理学院党委书记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殷敏具体负责活动办公室日常工作。</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五、活动安排</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（一）新闻发布会</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拟于5月上旬在北京举办活动新闻发布会。</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（二）启动仪式</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1.时间：5月24日。</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2.地点：北京第二外国语学院明德厅。</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参加人员：国家旅游局领导，全国红色旅游工作协调小组成员单位、部分省（市）旅发委（旅游局）、中国旅游协会旅游教育分会相关人员，红色旅游校园行宣讲团成员，新闻媒体记者，北京第二外国语学院师生等约1000人。</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（三）红色旅游校园行</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1.5月下旬开展红色旅游校园行北京站宣讲，进入北京市高校开展宣讲活动。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2.6月上旬开展红色旅游校园行浙江站宣讲，进入浙江省高校开展宣讲活动。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3.6月中旬开展红色旅游校园行云南站宣讲，进入云南省高校开展宣讲活动。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同期，各省级旅游部门结合当地实际，组建若干宣讲队伍，走进大学校园，在本地开展红色旅游校园行活动。着力推进红色旅游与校园文化有机结合，确保红色旅游校园行活动参与度高、覆盖面广、影响力大。  </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（四）全国大学生红色旅游创意策划大赛</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创意策划大赛拟在全国高校中进行宣传发动，发动300所院校、400支队伍、2000余名大学生参赛，借助赛事影响教育全国约300万名大学生。</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大赛设报名、初赛、采风、决赛四个环节。赛事设置采取“N+1”的方式进行，即：初赛选手从N个主题中任选其一设计参加初赛的作品；晋级决赛选手再策划设计1个针对采风地红色旅游发展方面的作品，与初赛作品一起共同作为决赛参赛作品。</w:t>
      </w:r>
    </w:p>
    <w:p>
      <w:pPr>
        <w:spacing w:line="600" w:lineRule="exact"/>
        <w:ind w:firstLine="640"/>
        <w:rPr>
          <w:rFonts w:ascii="仿宋_GB2312" w:eastAsia="仿宋_GB2312"/>
          <w:sz w:val="32"/>
          <w:szCs w:val="32"/>
        </w:rPr>
      </w:pPr>
      <w:r>
        <w:rPr>
          <w:rFonts w:hint="eastAsia" w:ascii="仿宋_GB2312" w:eastAsia="仿宋_GB2312"/>
          <w:sz w:val="32"/>
          <w:szCs w:val="32"/>
        </w:rPr>
        <w:t>2.报名。报名时间5月中旬至6月23日。全国普通高等学校在校学生不限专业均可报名参赛，可跨学校、院系组队报名。每支参赛队伍限3—5名学生，1—2名指导教师。参赛队伍从“挥洒青春热情</w:t>
      </w:r>
      <w:r>
        <w:rPr>
          <w:rFonts w:hint="eastAsia" w:ascii="宋体" w:hAnsi="宋体" w:eastAsia="宋体" w:cs="宋体"/>
          <w:sz w:val="32"/>
          <w:szCs w:val="32"/>
        </w:rPr>
        <w:t>•</w:t>
      </w:r>
      <w:r>
        <w:rPr>
          <w:rFonts w:hint="eastAsia" w:ascii="仿宋_GB2312" w:hAnsi="仿宋_GB2312" w:eastAsia="仿宋_GB2312" w:cs="仿宋_GB2312"/>
          <w:sz w:val="32"/>
          <w:szCs w:val="32"/>
        </w:rPr>
        <w:t>传承红色血脉”“再忆鱼水情</w:t>
      </w:r>
      <w:r>
        <w:rPr>
          <w:rFonts w:hint="eastAsia" w:ascii="宋体" w:hAnsi="宋体" w:eastAsia="宋体" w:cs="宋体"/>
          <w:sz w:val="32"/>
          <w:szCs w:val="32"/>
        </w:rPr>
        <w:t>•</w:t>
      </w:r>
      <w:r>
        <w:rPr>
          <w:rFonts w:hint="eastAsia" w:ascii="仿宋_GB2312" w:hAnsi="仿宋_GB2312" w:eastAsia="仿宋_GB2312" w:cs="仿宋_GB2312"/>
          <w:sz w:val="32"/>
          <w:szCs w:val="32"/>
        </w:rPr>
        <w:t>重振军旅魂”“挖掘革命老区资源</w:t>
      </w:r>
      <w:r>
        <w:rPr>
          <w:rFonts w:hint="eastAsia" w:ascii="宋体" w:hAnsi="宋体" w:eastAsia="宋体" w:cs="宋体"/>
          <w:sz w:val="32"/>
          <w:szCs w:val="32"/>
        </w:rPr>
        <w:t>•</w:t>
      </w:r>
      <w:r>
        <w:rPr>
          <w:rFonts w:hint="eastAsia" w:ascii="仿宋_GB2312" w:hAnsi="仿宋_GB2312" w:eastAsia="仿宋_GB2312" w:cs="仿宋_GB2312"/>
          <w:sz w:val="32"/>
          <w:szCs w:val="32"/>
        </w:rPr>
        <w:t>开辟精准扶贫新天地”</w:t>
      </w:r>
      <w:r>
        <w:rPr>
          <w:rFonts w:hint="eastAsia" w:ascii="仿宋_GB2312" w:eastAsia="仿宋_GB2312"/>
          <w:sz w:val="32"/>
          <w:szCs w:val="32"/>
        </w:rPr>
        <w:t>三个主题中任选一个，设计制作旅游线路、旅游产品，形成完整策划方案，连同报名表发送至大赛指定邮箱。具体报名事宜可登陆</w:t>
      </w:r>
      <w:r>
        <w:fldChar w:fldCharType="begin"/>
      </w:r>
      <w:r>
        <w:instrText xml:space="preserve"> HYPERLINK "http://redtourism.bisu.edu.cn" </w:instrText>
      </w:r>
      <w:r>
        <w:fldChar w:fldCharType="separate"/>
      </w:r>
      <w:r>
        <w:rPr>
          <w:rFonts w:ascii="仿宋_GB2312" w:eastAsia="仿宋_GB2312"/>
          <w:sz w:val="32"/>
          <w:szCs w:val="32"/>
        </w:rPr>
        <w:t>http://redtourism.bisu.edu.cn</w:t>
      </w:r>
      <w:r>
        <w:rPr>
          <w:rFonts w:ascii="仿宋_GB2312" w:eastAsia="仿宋_GB2312"/>
          <w:sz w:val="32"/>
          <w:szCs w:val="32"/>
        </w:rPr>
        <w:fldChar w:fldCharType="end"/>
      </w:r>
      <w:r>
        <w:rPr>
          <w:rFonts w:hint="eastAsia" w:ascii="仿宋_GB2312" w:eastAsia="仿宋_GB2312"/>
          <w:sz w:val="32"/>
          <w:szCs w:val="32"/>
        </w:rPr>
        <w:t>查看。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3.初赛。6月23日至30日。大赛组委会组织专家团对参赛作品进行匿名评审，确定30支晋级决赛的团队名单并公布。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4.采风。7月24日至28日。邀请晋级决赛的团队指导教师和参赛选手参加考察采风。采风在四川省进行，分为“重温激情岁月、感受老区新貌”（成都—仪陇—阆中—苍溪—成都），“川陕缅英烈、剑门渡雄关”（成都—绵阳—广元—巴中—成都），“伟人故里思源、红星闪耀之旅”（成都—资阳乐至—遂宁—广安—华蓥—成都）三条线路。晋级决赛团队需结合采风情况，对初赛作品进行系统修改；同时策划设计针对采风地红色旅游发展方面的方案，与初赛作品一起共同作为决赛参赛作品。</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5.决赛。9月12日至14日。在四川省南充市西华师范大学举行，入围队伍根据选题分组参加现场展示与答辩，可采用声光影像、PPT、动漫、网络直播或录制转播等各类展示形式，每支队伍时间控制在15分钟以内。</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（五）闭幕仪式</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1.时间：9月14日。</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2.地点：四川省南充市西华师范大学。</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3.参加人员：国家旅游局领导，全国红色旅游工作协调小组成员单位、相关省(市)旅发委（旅游局）、中国旅游协会旅游教育分会有关人员，新闻媒体记者，参加大赛决赛的学生等约500人。</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六、奖项设置</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（一）按照参与校园行暨创意策划大赛活动单位的50%比例，授予地方旅游部门和高等院校优秀组织奖，授予证书。按照参加创意大赛所有队伍的50%比例，授予参赛队伍优秀奖，授予证书。</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（二）授予参加创意策划大赛的所有参赛队伍（含个人）参赛证书。</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（三）评出创意策划大赛获奖队伍30组，其中：一等奖3组，奖金3000元/组；二等奖9组、奖金2000元/组；三等奖18组、奖金1000元/组。以上奖项获得者同时被授予相应获奖证书和奖杯。</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评出创意策划大赛参赛个人最佳风采奖3项、参赛作品最佳创意奖6项、“最佳指导教师”30名，并颁发相应获奖证书（最佳风采奖、最佳创意奖同时授予奖杯）。参赛选手表现作为北京第二外国语学院旅游管理硕士研究生入学面试成绩的参考，同等条件下优先录取。</w:t>
      </w:r>
    </w:p>
    <w:p>
      <w:pPr>
        <w:spacing w:line="600" w:lineRule="exact"/>
        <w:rPr>
          <w:rFonts w:ascii="黑体" w:hAnsi="黑体" w:eastAsia="黑体"/>
          <w:sz w:val="32"/>
          <w:szCs w:val="32"/>
        </w:rPr>
      </w:pPr>
      <w:r>
        <w:rPr>
          <w:rFonts w:hint="eastAsia" w:ascii="仿宋_GB2312" w:eastAsia="仿宋_GB2312"/>
          <w:sz w:val="32"/>
          <w:szCs w:val="32"/>
        </w:rPr>
        <w:t xml:space="preserve">    </w:t>
      </w:r>
      <w:r>
        <w:rPr>
          <w:rFonts w:hint="eastAsia" w:ascii="黑体" w:hAnsi="黑体" w:eastAsia="黑体"/>
          <w:sz w:val="32"/>
          <w:szCs w:val="32"/>
        </w:rPr>
        <w:t>七、宣传报道</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国家旅游局组织中央媒体对活动进行跟踪宣传报道。地方旅游部门组织地方媒体对活动进行宣传报道。各高校通过各自网络平台对活动进行宣传报道。</w:t>
      </w:r>
    </w:p>
    <w:p>
      <w:pPr>
        <w:spacing w:line="600" w:lineRule="exact"/>
        <w:ind w:firstLine="640"/>
        <w:rPr>
          <w:rFonts w:ascii="黑体" w:hAnsi="黑体" w:eastAsia="黑体"/>
          <w:sz w:val="32"/>
          <w:szCs w:val="32"/>
        </w:rPr>
      </w:pPr>
      <w:r>
        <w:rPr>
          <w:rFonts w:hint="eastAsia" w:ascii="黑体" w:hAnsi="黑体" w:eastAsia="黑体"/>
          <w:sz w:val="32"/>
          <w:szCs w:val="32"/>
        </w:rPr>
        <w:t>八、其它事项</w:t>
      </w:r>
    </w:p>
    <w:p>
      <w:pPr>
        <w:spacing w:line="600" w:lineRule="exact"/>
        <w:ind w:firstLine="640"/>
        <w:rPr>
          <w:rFonts w:ascii="仿宋_GB2312" w:eastAsia="仿宋_GB2312"/>
          <w:sz w:val="32"/>
          <w:szCs w:val="32"/>
        </w:rPr>
      </w:pPr>
      <w:r>
        <w:rPr>
          <w:rFonts w:hint="eastAsia" w:ascii="仿宋_GB2312" w:eastAsia="仿宋_GB2312"/>
          <w:sz w:val="32"/>
          <w:szCs w:val="32"/>
        </w:rPr>
        <w:t>（一）7月份各代表队成员前往四川省参加采风活动往返大交通费由各代表队自行承担；在四川省采风期间食宿费及交通费由四川省旅发委统一安排。</w:t>
      </w:r>
    </w:p>
    <w:p>
      <w:pPr>
        <w:spacing w:line="600" w:lineRule="exact"/>
        <w:ind w:firstLine="640"/>
        <w:rPr>
          <w:rFonts w:ascii="仿宋_GB2312" w:eastAsia="仿宋_GB2312"/>
          <w:sz w:val="32"/>
          <w:szCs w:val="32"/>
        </w:rPr>
      </w:pPr>
      <w:r>
        <w:rPr>
          <w:rFonts w:hint="eastAsia" w:ascii="仿宋_GB2312" w:eastAsia="仿宋_GB2312"/>
          <w:sz w:val="32"/>
          <w:szCs w:val="32"/>
        </w:rPr>
        <w:t>（二）9月份参加决赛及闭幕仪式的各代表队，往返比赛地的大交通费用自行承担；在比赛地的食宿和交通费用由四川省旅发委统一安排。</w:t>
      </w:r>
    </w:p>
    <w:p>
      <w:pPr>
        <w:spacing w:line="600" w:lineRule="exact"/>
        <w:ind w:firstLine="640"/>
        <w:rPr>
          <w:rFonts w:ascii="仿宋_GB2312" w:eastAsia="仿宋_GB2312"/>
          <w:sz w:val="32"/>
          <w:szCs w:val="32"/>
        </w:rPr>
      </w:pPr>
      <w:r>
        <w:rPr>
          <w:rFonts w:hint="eastAsia" w:ascii="仿宋_GB2312" w:eastAsia="仿宋_GB2312"/>
          <w:sz w:val="32"/>
          <w:szCs w:val="32"/>
        </w:rPr>
        <w:t>（三）《第七届全国大学生红色旅游创意策划大赛决赛评分细则和标准》将在初赛后发布。其他未尽事宜及变动情况以大赛组委会通知为准。</w:t>
      </w:r>
    </w:p>
    <w:p>
      <w:pPr>
        <w:spacing w:line="600" w:lineRule="exact"/>
        <w:ind w:firstLine="640"/>
        <w:rPr>
          <w:rFonts w:ascii="仿宋_GB2312" w:eastAsia="仿宋_GB2312"/>
          <w:sz w:val="32"/>
          <w:szCs w:val="32"/>
        </w:rPr>
      </w:pPr>
    </w:p>
    <w:p>
      <w:pPr>
        <w:spacing w:line="600" w:lineRule="exact"/>
        <w:ind w:firstLine="640"/>
        <w:rPr>
          <w:rFonts w:ascii="仿宋_GB2312" w:eastAsia="仿宋_GB2312"/>
          <w:sz w:val="32"/>
          <w:szCs w:val="32"/>
        </w:rPr>
      </w:pPr>
    </w:p>
    <w:p>
      <w:pPr>
        <w:spacing w:line="600" w:lineRule="exact"/>
        <w:ind w:firstLine="640"/>
        <w:rPr>
          <w:rFonts w:ascii="仿宋_GB2312" w:eastAsia="仿宋_GB2312"/>
          <w:sz w:val="32"/>
          <w:szCs w:val="32"/>
        </w:rPr>
      </w:pPr>
    </w:p>
    <w:p>
      <w:pPr>
        <w:spacing w:line="600" w:lineRule="exact"/>
        <w:ind w:firstLine="640"/>
        <w:rPr>
          <w:rFonts w:ascii="仿宋_GB2312" w:eastAsia="仿宋_GB2312"/>
          <w:sz w:val="32"/>
          <w:szCs w:val="32"/>
        </w:rPr>
      </w:pPr>
    </w:p>
    <w:p>
      <w:pPr>
        <w:spacing w:line="600" w:lineRule="exact"/>
        <w:jc w:val="left"/>
        <w:rPr>
          <w:rFonts w:ascii="仿宋" w:hAnsi="仿宋" w:eastAsia="仿宋"/>
          <w:sz w:val="32"/>
          <w:szCs w:val="32"/>
        </w:rPr>
      </w:pPr>
    </w:p>
    <w:p>
      <w:pPr>
        <w:spacing w:line="600" w:lineRule="exact"/>
        <w:jc w:val="left"/>
        <w:rPr>
          <w:rFonts w:ascii="黑体" w:hAnsi="黑体" w:eastAsia="黑体"/>
          <w:sz w:val="32"/>
          <w:szCs w:val="32"/>
        </w:rPr>
      </w:pPr>
      <w:r>
        <w:rPr>
          <w:rFonts w:hint="eastAsia" w:ascii="黑体" w:hAnsi="黑体" w:eastAsia="黑体"/>
          <w:sz w:val="32"/>
          <w:szCs w:val="32"/>
        </w:rPr>
        <w:t>附件2</w:t>
      </w:r>
    </w:p>
    <w:p>
      <w:pPr>
        <w:spacing w:line="600" w:lineRule="exact"/>
        <w:jc w:val="left"/>
        <w:rPr>
          <w:rFonts w:asciiTheme="majorEastAsia" w:hAnsiTheme="majorEastAsia" w:eastAsiaTheme="majorEastAsia"/>
          <w:b/>
          <w:sz w:val="32"/>
          <w:szCs w:val="32"/>
        </w:rPr>
      </w:pPr>
    </w:p>
    <w:p>
      <w:pPr>
        <w:spacing w:line="60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红色旅游校园行和第七届全国大学生红色旅游创意策划大赛启动仪式报名表</w:t>
      </w:r>
    </w:p>
    <w:p>
      <w:pPr>
        <w:spacing w:line="600" w:lineRule="exact"/>
        <w:jc w:val="center"/>
        <w:rPr>
          <w:rFonts w:ascii="仿宋" w:hAnsi="仿宋" w:eastAsia="仿宋"/>
          <w:sz w:val="32"/>
          <w:szCs w:val="32"/>
        </w:rPr>
      </w:pPr>
    </w:p>
    <w:p>
      <w:pPr>
        <w:spacing w:line="600" w:lineRule="exact"/>
        <w:jc w:val="left"/>
        <w:rPr>
          <w:rFonts w:ascii="仿宋" w:hAnsi="仿宋" w:eastAsia="仿宋"/>
          <w:sz w:val="32"/>
          <w:szCs w:val="32"/>
        </w:rPr>
      </w:pPr>
      <w:r>
        <w:rPr>
          <w:rFonts w:hint="eastAsia" w:ascii="仿宋" w:hAnsi="仿宋" w:eastAsia="仿宋"/>
          <w:sz w:val="32"/>
          <w:szCs w:val="32"/>
        </w:rPr>
        <w:t>单  位：</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276"/>
        <w:gridCol w:w="2268"/>
        <w:gridCol w:w="1842"/>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spacing w:line="600" w:lineRule="exact"/>
              <w:jc w:val="center"/>
              <w:rPr>
                <w:rFonts w:ascii="仿宋" w:hAnsi="仿宋" w:eastAsia="仿宋"/>
                <w:sz w:val="32"/>
                <w:szCs w:val="32"/>
              </w:rPr>
            </w:pPr>
            <w:r>
              <w:rPr>
                <w:rFonts w:hint="eastAsia" w:ascii="仿宋" w:hAnsi="仿宋" w:eastAsia="仿宋"/>
                <w:sz w:val="32"/>
                <w:szCs w:val="32"/>
              </w:rPr>
              <w:t>姓 名</w:t>
            </w:r>
          </w:p>
        </w:tc>
        <w:tc>
          <w:tcPr>
            <w:tcW w:w="1276" w:type="dxa"/>
          </w:tcPr>
          <w:p>
            <w:pPr>
              <w:spacing w:line="600" w:lineRule="exact"/>
              <w:jc w:val="center"/>
              <w:rPr>
                <w:rFonts w:ascii="仿宋" w:hAnsi="仿宋" w:eastAsia="仿宋"/>
                <w:sz w:val="32"/>
                <w:szCs w:val="32"/>
              </w:rPr>
            </w:pPr>
            <w:r>
              <w:rPr>
                <w:rFonts w:hint="eastAsia" w:ascii="仿宋" w:hAnsi="仿宋" w:eastAsia="仿宋"/>
                <w:sz w:val="32"/>
                <w:szCs w:val="32"/>
              </w:rPr>
              <w:t>性 别</w:t>
            </w:r>
          </w:p>
        </w:tc>
        <w:tc>
          <w:tcPr>
            <w:tcW w:w="2268" w:type="dxa"/>
          </w:tcPr>
          <w:p>
            <w:pPr>
              <w:spacing w:line="600" w:lineRule="exact"/>
              <w:jc w:val="center"/>
              <w:rPr>
                <w:rFonts w:ascii="仿宋" w:hAnsi="仿宋" w:eastAsia="仿宋"/>
                <w:sz w:val="32"/>
                <w:szCs w:val="32"/>
              </w:rPr>
            </w:pPr>
            <w:r>
              <w:rPr>
                <w:rFonts w:hint="eastAsia" w:ascii="仿宋" w:hAnsi="仿宋" w:eastAsia="仿宋"/>
                <w:sz w:val="32"/>
                <w:szCs w:val="32"/>
              </w:rPr>
              <w:t>单位职务</w:t>
            </w:r>
          </w:p>
        </w:tc>
        <w:tc>
          <w:tcPr>
            <w:tcW w:w="1842" w:type="dxa"/>
          </w:tcPr>
          <w:p>
            <w:pPr>
              <w:spacing w:line="600" w:lineRule="exact"/>
              <w:jc w:val="center"/>
              <w:rPr>
                <w:rFonts w:ascii="仿宋" w:hAnsi="仿宋" w:eastAsia="仿宋"/>
                <w:sz w:val="32"/>
                <w:szCs w:val="32"/>
              </w:rPr>
            </w:pPr>
            <w:r>
              <w:rPr>
                <w:rFonts w:hint="eastAsia" w:ascii="仿宋" w:hAnsi="仿宋" w:eastAsia="仿宋"/>
                <w:sz w:val="32"/>
                <w:szCs w:val="32"/>
              </w:rPr>
              <w:t>联系电话</w:t>
            </w:r>
          </w:p>
        </w:tc>
        <w:tc>
          <w:tcPr>
            <w:tcW w:w="1610" w:type="dxa"/>
          </w:tcPr>
          <w:p>
            <w:pPr>
              <w:spacing w:line="600" w:lineRule="exact"/>
              <w:jc w:val="center"/>
              <w:rPr>
                <w:rFonts w:ascii="仿宋" w:hAnsi="仿宋" w:eastAsia="仿宋"/>
                <w:sz w:val="32"/>
                <w:szCs w:val="32"/>
              </w:rPr>
            </w:pPr>
            <w:r>
              <w:rPr>
                <w:rFonts w:hint="eastAsia" w:ascii="仿宋" w:hAnsi="仿宋" w:eastAsia="仿宋"/>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0" w:hRule="atLeast"/>
        </w:trPr>
        <w:tc>
          <w:tcPr>
            <w:tcW w:w="1526" w:type="dxa"/>
          </w:tcPr>
          <w:p>
            <w:pPr>
              <w:spacing w:line="600" w:lineRule="exact"/>
              <w:jc w:val="left"/>
              <w:rPr>
                <w:rFonts w:asciiTheme="majorEastAsia" w:hAnsiTheme="majorEastAsia" w:eastAsiaTheme="majorEastAsia"/>
                <w:b/>
                <w:sz w:val="32"/>
                <w:szCs w:val="32"/>
              </w:rPr>
            </w:pPr>
          </w:p>
        </w:tc>
        <w:tc>
          <w:tcPr>
            <w:tcW w:w="1276" w:type="dxa"/>
          </w:tcPr>
          <w:p>
            <w:pPr>
              <w:spacing w:line="600" w:lineRule="exact"/>
              <w:jc w:val="left"/>
              <w:rPr>
                <w:rFonts w:asciiTheme="majorEastAsia" w:hAnsiTheme="majorEastAsia" w:eastAsiaTheme="majorEastAsia"/>
                <w:b/>
                <w:sz w:val="32"/>
                <w:szCs w:val="32"/>
              </w:rPr>
            </w:pPr>
          </w:p>
        </w:tc>
        <w:tc>
          <w:tcPr>
            <w:tcW w:w="2268" w:type="dxa"/>
          </w:tcPr>
          <w:p>
            <w:pPr>
              <w:spacing w:line="600" w:lineRule="exact"/>
              <w:jc w:val="left"/>
              <w:rPr>
                <w:rFonts w:asciiTheme="majorEastAsia" w:hAnsiTheme="majorEastAsia" w:eastAsiaTheme="majorEastAsia"/>
                <w:b/>
                <w:sz w:val="32"/>
                <w:szCs w:val="32"/>
              </w:rPr>
            </w:pPr>
          </w:p>
        </w:tc>
        <w:tc>
          <w:tcPr>
            <w:tcW w:w="1842" w:type="dxa"/>
          </w:tcPr>
          <w:p>
            <w:pPr>
              <w:spacing w:line="600" w:lineRule="exact"/>
              <w:jc w:val="left"/>
              <w:rPr>
                <w:rFonts w:asciiTheme="majorEastAsia" w:hAnsiTheme="majorEastAsia" w:eastAsiaTheme="majorEastAsia"/>
                <w:b/>
                <w:sz w:val="32"/>
                <w:szCs w:val="32"/>
              </w:rPr>
            </w:pPr>
          </w:p>
        </w:tc>
        <w:tc>
          <w:tcPr>
            <w:tcW w:w="1610" w:type="dxa"/>
          </w:tcPr>
          <w:p>
            <w:pPr>
              <w:spacing w:line="600" w:lineRule="exact"/>
              <w:jc w:val="left"/>
              <w:rPr>
                <w:rFonts w:asciiTheme="majorEastAsia" w:hAnsiTheme="majorEastAsia" w:eastAsiaTheme="majorEastAsia"/>
                <w:b/>
                <w:sz w:val="32"/>
                <w:szCs w:val="32"/>
              </w:rPr>
            </w:pPr>
          </w:p>
          <w:p>
            <w:pPr>
              <w:spacing w:line="600" w:lineRule="exact"/>
              <w:jc w:val="left"/>
              <w:rPr>
                <w:rFonts w:asciiTheme="majorEastAsia" w:hAnsiTheme="majorEastAsia" w:eastAsiaTheme="majorEastAsia"/>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0" w:hRule="atLeast"/>
        </w:trPr>
        <w:tc>
          <w:tcPr>
            <w:tcW w:w="1526" w:type="dxa"/>
          </w:tcPr>
          <w:p>
            <w:pPr>
              <w:spacing w:line="600" w:lineRule="exact"/>
              <w:jc w:val="left"/>
              <w:rPr>
                <w:rFonts w:asciiTheme="majorEastAsia" w:hAnsiTheme="majorEastAsia" w:eastAsiaTheme="majorEastAsia"/>
                <w:b/>
                <w:sz w:val="32"/>
                <w:szCs w:val="32"/>
              </w:rPr>
            </w:pPr>
          </w:p>
        </w:tc>
        <w:tc>
          <w:tcPr>
            <w:tcW w:w="1276" w:type="dxa"/>
          </w:tcPr>
          <w:p>
            <w:pPr>
              <w:spacing w:line="600" w:lineRule="exact"/>
              <w:jc w:val="left"/>
              <w:rPr>
                <w:rFonts w:asciiTheme="majorEastAsia" w:hAnsiTheme="majorEastAsia" w:eastAsiaTheme="majorEastAsia"/>
                <w:b/>
                <w:sz w:val="32"/>
                <w:szCs w:val="32"/>
              </w:rPr>
            </w:pPr>
          </w:p>
        </w:tc>
        <w:tc>
          <w:tcPr>
            <w:tcW w:w="2268" w:type="dxa"/>
          </w:tcPr>
          <w:p>
            <w:pPr>
              <w:spacing w:line="600" w:lineRule="exact"/>
              <w:jc w:val="left"/>
              <w:rPr>
                <w:rFonts w:asciiTheme="majorEastAsia" w:hAnsiTheme="majorEastAsia" w:eastAsiaTheme="majorEastAsia"/>
                <w:b/>
                <w:sz w:val="32"/>
                <w:szCs w:val="32"/>
              </w:rPr>
            </w:pPr>
          </w:p>
        </w:tc>
        <w:tc>
          <w:tcPr>
            <w:tcW w:w="1842" w:type="dxa"/>
          </w:tcPr>
          <w:p>
            <w:pPr>
              <w:spacing w:line="600" w:lineRule="exact"/>
              <w:jc w:val="left"/>
              <w:rPr>
                <w:rFonts w:asciiTheme="majorEastAsia" w:hAnsiTheme="majorEastAsia" w:eastAsiaTheme="majorEastAsia"/>
                <w:b/>
                <w:sz w:val="32"/>
                <w:szCs w:val="32"/>
              </w:rPr>
            </w:pPr>
          </w:p>
        </w:tc>
        <w:tc>
          <w:tcPr>
            <w:tcW w:w="1610" w:type="dxa"/>
          </w:tcPr>
          <w:p>
            <w:pPr>
              <w:spacing w:line="600" w:lineRule="exact"/>
              <w:jc w:val="left"/>
              <w:rPr>
                <w:rFonts w:asciiTheme="majorEastAsia" w:hAnsiTheme="majorEastAsia" w:eastAsiaTheme="majorEastAsia"/>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0" w:hRule="atLeast"/>
        </w:trPr>
        <w:tc>
          <w:tcPr>
            <w:tcW w:w="1526" w:type="dxa"/>
          </w:tcPr>
          <w:p>
            <w:pPr>
              <w:spacing w:line="600" w:lineRule="exact"/>
              <w:jc w:val="left"/>
              <w:rPr>
                <w:rFonts w:asciiTheme="majorEastAsia" w:hAnsiTheme="majorEastAsia" w:eastAsiaTheme="majorEastAsia"/>
                <w:b/>
                <w:sz w:val="32"/>
                <w:szCs w:val="32"/>
              </w:rPr>
            </w:pPr>
          </w:p>
        </w:tc>
        <w:tc>
          <w:tcPr>
            <w:tcW w:w="1276" w:type="dxa"/>
          </w:tcPr>
          <w:p>
            <w:pPr>
              <w:spacing w:line="600" w:lineRule="exact"/>
              <w:jc w:val="left"/>
              <w:rPr>
                <w:rFonts w:asciiTheme="majorEastAsia" w:hAnsiTheme="majorEastAsia" w:eastAsiaTheme="majorEastAsia"/>
                <w:b/>
                <w:sz w:val="32"/>
                <w:szCs w:val="32"/>
              </w:rPr>
            </w:pPr>
          </w:p>
        </w:tc>
        <w:tc>
          <w:tcPr>
            <w:tcW w:w="2268" w:type="dxa"/>
          </w:tcPr>
          <w:p>
            <w:pPr>
              <w:spacing w:line="600" w:lineRule="exact"/>
              <w:jc w:val="left"/>
              <w:rPr>
                <w:rFonts w:asciiTheme="majorEastAsia" w:hAnsiTheme="majorEastAsia" w:eastAsiaTheme="majorEastAsia"/>
                <w:b/>
                <w:sz w:val="32"/>
                <w:szCs w:val="32"/>
              </w:rPr>
            </w:pPr>
          </w:p>
        </w:tc>
        <w:tc>
          <w:tcPr>
            <w:tcW w:w="1842" w:type="dxa"/>
          </w:tcPr>
          <w:p>
            <w:pPr>
              <w:spacing w:line="600" w:lineRule="exact"/>
              <w:jc w:val="left"/>
              <w:rPr>
                <w:rFonts w:asciiTheme="majorEastAsia" w:hAnsiTheme="majorEastAsia" w:eastAsiaTheme="majorEastAsia"/>
                <w:b/>
                <w:sz w:val="32"/>
                <w:szCs w:val="32"/>
              </w:rPr>
            </w:pPr>
          </w:p>
        </w:tc>
        <w:tc>
          <w:tcPr>
            <w:tcW w:w="1610" w:type="dxa"/>
          </w:tcPr>
          <w:p>
            <w:pPr>
              <w:spacing w:line="600" w:lineRule="exact"/>
              <w:jc w:val="left"/>
              <w:rPr>
                <w:rFonts w:asciiTheme="majorEastAsia" w:hAnsiTheme="majorEastAsia" w:eastAsiaTheme="majorEastAsia"/>
                <w:b/>
                <w:sz w:val="32"/>
                <w:szCs w:val="32"/>
              </w:rPr>
            </w:pPr>
          </w:p>
        </w:tc>
      </w:tr>
    </w:tbl>
    <w:p>
      <w:pPr>
        <w:spacing w:line="600" w:lineRule="exact"/>
        <w:jc w:val="left"/>
        <w:rPr>
          <w:rFonts w:ascii="仿宋" w:hAnsi="仿宋" w:eastAsia="仿宋"/>
          <w:sz w:val="32"/>
          <w:szCs w:val="32"/>
        </w:rPr>
      </w:pPr>
    </w:p>
    <w:p>
      <w:pPr>
        <w:spacing w:line="600" w:lineRule="exact"/>
        <w:ind w:left="958" w:leftChars="304" w:hanging="320" w:hangingChars="100"/>
        <w:jc w:val="left"/>
        <w:rPr>
          <w:rFonts w:ascii="仿宋" w:hAnsi="仿宋" w:eastAsia="仿宋"/>
          <w:sz w:val="32"/>
          <w:szCs w:val="32"/>
        </w:rPr>
      </w:pPr>
    </w:p>
    <w:p>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5673135"/>
    </w:sdtPr>
    <w:sdtContent>
      <w:p>
        <w:pPr>
          <w:pStyle w:val="2"/>
          <w:jc w:val="center"/>
        </w:pPr>
        <w:r>
          <w:fldChar w:fldCharType="begin"/>
        </w:r>
        <w:r>
          <w:instrText xml:space="preserve">PAGE   \* MERGEFORMAT</w:instrText>
        </w:r>
        <w:r>
          <w:fldChar w:fldCharType="separate"/>
        </w:r>
        <w:r>
          <w:rPr>
            <w:lang w:val="zh-CN"/>
          </w:rPr>
          <w:t>11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C22057"/>
    <w:rsid w:val="57C220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2556</Words>
  <Characters>2652</Characters>
  <Lines>0</Lines>
  <Paragraphs>0</Paragraphs>
  <ScaleCrop>false</ScaleCrop>
  <LinksUpToDate>false</LinksUpToDate>
  <CharactersWithSpaces>2766</CharactersWithSpaces>
  <Application>WPS Office_10.1.0.6374_F1E327BC-269C-435d-A152-05C5408002CA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2017-04-25T04:17:00Z</dcterms:created>
  <dc:creator>范西西</dc:creator>
  <cp:lastModifiedBy>范西西</cp:lastModifiedBy>
  <dcterms:modified xsi:type="dcterms:W3CDTF">2017-04-25T04:30:13Z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2052-10.1.0.6374</vt:lpwstr>
  </property>
</Properties>
</file>